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6C" w:rsidRPr="007124F6" w:rsidRDefault="00895207" w:rsidP="00B4126C">
      <w:pPr>
        <w:pStyle w:val="Hlavika"/>
        <w:rPr>
          <w:b/>
          <w:sz w:val="40"/>
          <w:szCs w:val="40"/>
        </w:rPr>
      </w:pPr>
      <w:r w:rsidRPr="007124F6">
        <w:rPr>
          <w:rFonts w:eastAsia="Calibri"/>
          <w:sz w:val="26"/>
          <w:szCs w:val="26"/>
        </w:rPr>
        <w:tab/>
      </w:r>
      <w:r w:rsidR="00B4126C" w:rsidRPr="007124F6">
        <w:rPr>
          <w:b/>
          <w:sz w:val="40"/>
          <w:szCs w:val="40"/>
        </w:rPr>
        <w:t>Obec JAROK</w:t>
      </w:r>
    </w:p>
    <w:p w:rsidR="008D02F3" w:rsidRPr="007124F6" w:rsidRDefault="008D02F3">
      <w:pPr>
        <w:spacing w:after="247" w:line="259" w:lineRule="auto"/>
        <w:ind w:left="262" w:right="0" w:firstLine="0"/>
        <w:jc w:val="left"/>
        <w:rPr>
          <w:szCs w:val="26"/>
        </w:rPr>
      </w:pPr>
    </w:p>
    <w:p w:rsidR="008D02F3" w:rsidRPr="007124F6" w:rsidRDefault="00895207">
      <w:pPr>
        <w:spacing w:after="0" w:line="259" w:lineRule="auto"/>
        <w:ind w:left="0" w:right="0" w:firstLine="0"/>
        <w:jc w:val="left"/>
        <w:rPr>
          <w:szCs w:val="26"/>
        </w:rPr>
      </w:pPr>
      <w:r w:rsidRPr="007124F6">
        <w:rPr>
          <w:szCs w:val="26"/>
        </w:rPr>
        <w:t xml:space="preserve"> </w:t>
      </w:r>
      <w:r w:rsidRPr="007124F6">
        <w:rPr>
          <w:szCs w:val="26"/>
        </w:rPr>
        <w:tab/>
        <w:t xml:space="preserve"> </w:t>
      </w:r>
      <w:r w:rsidRPr="007124F6">
        <w:rPr>
          <w:szCs w:val="26"/>
        </w:rPr>
        <w:tab/>
        <w:t xml:space="preserve"> </w:t>
      </w:r>
    </w:p>
    <w:p w:rsidR="008D02F3" w:rsidRPr="007124F6" w:rsidRDefault="00895207" w:rsidP="00B4126C">
      <w:pPr>
        <w:spacing w:after="0" w:line="259" w:lineRule="auto"/>
        <w:ind w:left="0" w:right="0" w:firstLine="0"/>
        <w:jc w:val="left"/>
        <w:rPr>
          <w:szCs w:val="26"/>
        </w:rPr>
      </w:pPr>
      <w:r w:rsidRPr="007124F6">
        <w:rPr>
          <w:szCs w:val="26"/>
        </w:rPr>
        <w:t xml:space="preserve"> </w:t>
      </w:r>
    </w:p>
    <w:p w:rsidR="008D02F3" w:rsidRPr="007124F6" w:rsidRDefault="00D4777C" w:rsidP="00D4777C">
      <w:pPr>
        <w:spacing w:after="0" w:line="259" w:lineRule="auto"/>
        <w:ind w:left="0" w:right="0" w:firstLine="0"/>
        <w:jc w:val="center"/>
        <w:rPr>
          <w:szCs w:val="26"/>
        </w:rPr>
      </w:pPr>
      <w:r>
        <w:rPr>
          <w:rFonts w:ascii="Arial Black" w:hAnsi="Arial Black" w:cs="Arial Black"/>
          <w:b/>
          <w:bCs/>
          <w:noProof/>
        </w:rPr>
        <w:drawing>
          <wp:inline distT="0" distB="0" distL="0" distR="0">
            <wp:extent cx="1285875" cy="152400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D02F3">
      <w:pPr>
        <w:spacing w:after="0" w:line="259" w:lineRule="auto"/>
        <w:ind w:left="0" w:right="0" w:firstLine="0"/>
        <w:jc w:val="left"/>
        <w:rPr>
          <w:szCs w:val="26"/>
        </w:rPr>
      </w:pP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D02F3">
      <w:pPr>
        <w:spacing w:after="0" w:line="259" w:lineRule="auto"/>
        <w:ind w:left="0" w:right="0" w:firstLine="0"/>
        <w:jc w:val="left"/>
        <w:rPr>
          <w:szCs w:val="26"/>
        </w:rPr>
      </w:pP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D02F3">
      <w:pPr>
        <w:spacing w:after="48" w:line="259" w:lineRule="auto"/>
        <w:ind w:left="0" w:right="0" w:firstLine="0"/>
        <w:jc w:val="left"/>
        <w:rPr>
          <w:szCs w:val="26"/>
        </w:rPr>
      </w:pPr>
    </w:p>
    <w:p w:rsidR="008D02F3" w:rsidRPr="007124F6" w:rsidRDefault="00C10E57">
      <w:pPr>
        <w:spacing w:after="0" w:line="259" w:lineRule="auto"/>
        <w:ind w:left="13" w:right="2"/>
        <w:jc w:val="center"/>
        <w:rPr>
          <w:szCs w:val="26"/>
        </w:rPr>
      </w:pPr>
      <w:r>
        <w:rPr>
          <w:b/>
          <w:szCs w:val="26"/>
        </w:rPr>
        <w:t>Všeobecne</w:t>
      </w:r>
      <w:r w:rsidR="00895207" w:rsidRPr="007124F6">
        <w:rPr>
          <w:b/>
          <w:szCs w:val="26"/>
        </w:rPr>
        <w:t xml:space="preserve"> záväzné</w:t>
      </w:r>
      <w:r w:rsidR="00D4777C">
        <w:rPr>
          <w:b/>
          <w:szCs w:val="26"/>
        </w:rPr>
        <w:t xml:space="preserve"> nariadenie</w:t>
      </w:r>
      <w:r w:rsidR="00895207" w:rsidRPr="007124F6">
        <w:rPr>
          <w:b/>
          <w:szCs w:val="26"/>
        </w:rPr>
        <w:t xml:space="preserve"> Obce </w:t>
      </w:r>
      <w:r w:rsidR="00B4126C" w:rsidRPr="007124F6">
        <w:rPr>
          <w:b/>
          <w:szCs w:val="26"/>
        </w:rPr>
        <w:t>Jarok</w:t>
      </w:r>
      <w:r w:rsidR="00895207" w:rsidRPr="007124F6">
        <w:rPr>
          <w:b/>
          <w:szCs w:val="26"/>
        </w:rPr>
        <w:t xml:space="preserve"> </w:t>
      </w:r>
    </w:p>
    <w:p w:rsidR="008D02F3" w:rsidRPr="007124F6" w:rsidRDefault="00B4126C">
      <w:pPr>
        <w:spacing w:after="0" w:line="259" w:lineRule="auto"/>
        <w:ind w:left="13" w:right="0"/>
        <w:jc w:val="center"/>
        <w:rPr>
          <w:szCs w:val="26"/>
        </w:rPr>
      </w:pPr>
      <w:r w:rsidRPr="007124F6">
        <w:rPr>
          <w:b/>
          <w:szCs w:val="26"/>
        </w:rPr>
        <w:t xml:space="preserve">č. </w:t>
      </w:r>
      <w:r w:rsidR="00C10E57">
        <w:rPr>
          <w:b/>
          <w:szCs w:val="26"/>
        </w:rPr>
        <w:t>2</w:t>
      </w:r>
      <w:r w:rsidRPr="007124F6">
        <w:rPr>
          <w:b/>
          <w:szCs w:val="26"/>
        </w:rPr>
        <w:t>/2015</w:t>
      </w:r>
      <w:r w:rsidR="00895207" w:rsidRPr="007124F6">
        <w:rPr>
          <w:b/>
          <w:szCs w:val="26"/>
        </w:rPr>
        <w:t xml:space="preserve"> </w:t>
      </w:r>
    </w:p>
    <w:p w:rsidR="008D02F3" w:rsidRPr="007124F6" w:rsidRDefault="00895207">
      <w:pPr>
        <w:spacing w:after="48" w:line="259" w:lineRule="auto"/>
        <w:ind w:left="65" w:right="0" w:firstLine="0"/>
        <w:jc w:val="center"/>
        <w:rPr>
          <w:szCs w:val="26"/>
        </w:rPr>
      </w:pPr>
      <w:r w:rsidRPr="007124F6">
        <w:rPr>
          <w:b/>
          <w:szCs w:val="26"/>
        </w:rPr>
        <w:t xml:space="preserve"> </w:t>
      </w:r>
    </w:p>
    <w:p w:rsidR="008D02F3" w:rsidRPr="007124F6" w:rsidRDefault="00895207">
      <w:pPr>
        <w:spacing w:after="0" w:line="259" w:lineRule="auto"/>
        <w:ind w:left="238" w:right="0" w:firstLine="0"/>
        <w:jc w:val="left"/>
        <w:rPr>
          <w:szCs w:val="26"/>
        </w:rPr>
      </w:pPr>
      <w:r w:rsidRPr="007124F6">
        <w:rPr>
          <w:b/>
          <w:szCs w:val="26"/>
        </w:rPr>
        <w:t xml:space="preserve">o vymedzení miest na umiestňovanie volebných plagátov v čase volebnej  </w:t>
      </w:r>
    </w:p>
    <w:p w:rsidR="008D02F3" w:rsidRPr="007124F6" w:rsidRDefault="00895207">
      <w:pPr>
        <w:spacing w:after="32" w:line="259" w:lineRule="auto"/>
        <w:ind w:left="71" w:right="0" w:firstLine="0"/>
        <w:jc w:val="center"/>
        <w:rPr>
          <w:szCs w:val="26"/>
        </w:rPr>
      </w:pPr>
      <w:r w:rsidRPr="007124F6">
        <w:rPr>
          <w:b/>
          <w:szCs w:val="26"/>
        </w:rPr>
        <w:t xml:space="preserve"> </w:t>
      </w:r>
    </w:p>
    <w:p w:rsidR="008D02F3" w:rsidRDefault="00895207">
      <w:pPr>
        <w:spacing w:after="0" w:line="259" w:lineRule="auto"/>
        <w:ind w:left="0" w:right="1" w:firstLine="0"/>
        <w:jc w:val="center"/>
        <w:rPr>
          <w:b/>
          <w:szCs w:val="26"/>
        </w:rPr>
      </w:pPr>
      <w:r w:rsidRPr="007124F6">
        <w:rPr>
          <w:b/>
          <w:szCs w:val="26"/>
        </w:rPr>
        <w:t xml:space="preserve">kampane na území obce </w:t>
      </w:r>
      <w:r w:rsidR="00B4126C" w:rsidRPr="007124F6">
        <w:rPr>
          <w:b/>
          <w:szCs w:val="26"/>
        </w:rPr>
        <w:t>Jarok</w:t>
      </w:r>
    </w:p>
    <w:p w:rsidR="00D4777C" w:rsidRDefault="00D4777C">
      <w:pPr>
        <w:spacing w:after="0" w:line="259" w:lineRule="auto"/>
        <w:ind w:left="0" w:right="1" w:firstLine="0"/>
        <w:jc w:val="center"/>
        <w:rPr>
          <w:b/>
          <w:szCs w:val="26"/>
        </w:rPr>
      </w:pPr>
    </w:p>
    <w:p w:rsidR="00D4777C" w:rsidRDefault="00D4777C">
      <w:pPr>
        <w:spacing w:after="0" w:line="259" w:lineRule="auto"/>
        <w:ind w:left="0" w:right="1" w:firstLine="0"/>
        <w:jc w:val="center"/>
        <w:rPr>
          <w:b/>
          <w:szCs w:val="26"/>
        </w:rPr>
      </w:pPr>
    </w:p>
    <w:p w:rsidR="00D4777C" w:rsidRDefault="00D4777C">
      <w:pPr>
        <w:spacing w:after="0" w:line="259" w:lineRule="auto"/>
        <w:ind w:left="0" w:right="1" w:firstLine="0"/>
        <w:jc w:val="center"/>
        <w:rPr>
          <w:b/>
          <w:szCs w:val="26"/>
        </w:rPr>
      </w:pPr>
    </w:p>
    <w:p w:rsidR="00D4777C" w:rsidRDefault="00D4777C">
      <w:pPr>
        <w:spacing w:after="0" w:line="259" w:lineRule="auto"/>
        <w:ind w:left="0" w:right="1" w:firstLine="0"/>
        <w:jc w:val="center"/>
        <w:rPr>
          <w:b/>
          <w:szCs w:val="26"/>
        </w:rPr>
      </w:pPr>
    </w:p>
    <w:p w:rsidR="00D4777C" w:rsidRDefault="00D4777C">
      <w:pPr>
        <w:spacing w:after="0" w:line="259" w:lineRule="auto"/>
        <w:ind w:left="0" w:right="1" w:firstLine="0"/>
        <w:jc w:val="center"/>
        <w:rPr>
          <w:b/>
          <w:szCs w:val="26"/>
        </w:rPr>
      </w:pPr>
    </w:p>
    <w:p w:rsidR="00D4777C" w:rsidRDefault="00D4777C">
      <w:pPr>
        <w:spacing w:after="0" w:line="259" w:lineRule="auto"/>
        <w:ind w:left="0" w:right="1" w:firstLine="0"/>
        <w:jc w:val="center"/>
        <w:rPr>
          <w:b/>
          <w:szCs w:val="26"/>
        </w:rPr>
      </w:pPr>
    </w:p>
    <w:p w:rsidR="00D4777C" w:rsidRDefault="00D4777C" w:rsidP="00D4777C">
      <w:pPr>
        <w:spacing w:after="0" w:line="259" w:lineRule="auto"/>
        <w:ind w:left="0" w:right="1" w:firstLine="0"/>
        <w:rPr>
          <w:b/>
          <w:szCs w:val="26"/>
        </w:rPr>
      </w:pPr>
    </w:p>
    <w:p w:rsidR="00D4777C" w:rsidRDefault="00D4777C" w:rsidP="00D4777C">
      <w:pPr>
        <w:rPr>
          <w:b/>
          <w:bCs/>
          <w:sz w:val="28"/>
          <w:szCs w:val="28"/>
        </w:rPr>
      </w:pPr>
      <w:r>
        <w:rPr>
          <w:b/>
          <w:bCs/>
          <w:sz w:val="28"/>
          <w:szCs w:val="28"/>
        </w:rPr>
        <w:t>––––––––––––––––––––––––––––––––––––––––––––––––––––––––––––––––</w:t>
      </w:r>
    </w:p>
    <w:p w:rsidR="00D4777C" w:rsidRPr="004C5C6E" w:rsidRDefault="00D4777C" w:rsidP="00D4777C">
      <w:pPr>
        <w:rPr>
          <w:sz w:val="24"/>
          <w:szCs w:val="24"/>
        </w:rPr>
      </w:pPr>
      <w:r w:rsidRPr="004C5C6E">
        <w:rPr>
          <w:sz w:val="24"/>
          <w:szCs w:val="24"/>
        </w:rPr>
        <w:t>Schválené uznesením obecného zastupiteľstva číslo</w:t>
      </w:r>
      <w:r w:rsidR="008204AA" w:rsidRPr="004C5C6E">
        <w:rPr>
          <w:sz w:val="24"/>
          <w:szCs w:val="24"/>
        </w:rPr>
        <w:t xml:space="preserve"> 113</w:t>
      </w:r>
      <w:r w:rsidRPr="004C5C6E">
        <w:rPr>
          <w:sz w:val="24"/>
          <w:szCs w:val="24"/>
        </w:rPr>
        <w:t>/2015 dňa 11.12.2015</w:t>
      </w:r>
    </w:p>
    <w:p w:rsidR="00D4777C" w:rsidRPr="004C5C6E" w:rsidRDefault="00D4777C" w:rsidP="00D4777C">
      <w:pPr>
        <w:rPr>
          <w:sz w:val="24"/>
          <w:szCs w:val="24"/>
        </w:rPr>
      </w:pPr>
      <w:r w:rsidRPr="004C5C6E">
        <w:rPr>
          <w:sz w:val="24"/>
          <w:szCs w:val="24"/>
        </w:rPr>
        <w:t>Vyvesené na úradnej tabuli od 04.11.2015 do 02.12.2015 a po schválení v OZ od 15.12.2015 do 31.12.2015</w:t>
      </w:r>
    </w:p>
    <w:p w:rsidR="00D4777C" w:rsidRPr="004C5C6E" w:rsidRDefault="00D4777C" w:rsidP="00D4777C">
      <w:pPr>
        <w:rPr>
          <w:sz w:val="24"/>
          <w:szCs w:val="24"/>
        </w:rPr>
      </w:pPr>
      <w:r w:rsidRPr="004C5C6E">
        <w:rPr>
          <w:sz w:val="24"/>
          <w:szCs w:val="24"/>
        </w:rPr>
        <w:t>Dátum lehoty na pripomienkovanie do 16.11.2015</w:t>
      </w:r>
    </w:p>
    <w:p w:rsidR="00D4777C" w:rsidRPr="004C5C6E" w:rsidRDefault="00D4777C" w:rsidP="00D4777C">
      <w:pPr>
        <w:rPr>
          <w:sz w:val="24"/>
          <w:szCs w:val="24"/>
        </w:rPr>
      </w:pPr>
      <w:r w:rsidRPr="004C5C6E">
        <w:rPr>
          <w:sz w:val="24"/>
          <w:szCs w:val="24"/>
        </w:rPr>
        <w:t>Platnosť nadobúda dňom schválenia v obecnom zastupiteľstve a účinnosť nadobúda 1.1.2016</w:t>
      </w:r>
    </w:p>
    <w:p w:rsidR="00D4777C" w:rsidRPr="00385DE2" w:rsidRDefault="00D4777C" w:rsidP="00D4777C">
      <w:r>
        <w:t>–––––––––––––––––––––––––––––––––––––––––––––––––––––––––––––––––––––</w:t>
      </w:r>
    </w:p>
    <w:p w:rsidR="004C5C6E" w:rsidRDefault="004C5C6E">
      <w:pPr>
        <w:ind w:right="0"/>
        <w:rPr>
          <w:szCs w:val="26"/>
        </w:rPr>
      </w:pPr>
    </w:p>
    <w:p w:rsidR="008D02F3" w:rsidRPr="007124F6" w:rsidRDefault="00895207">
      <w:pPr>
        <w:ind w:right="0"/>
        <w:rPr>
          <w:szCs w:val="26"/>
        </w:rPr>
      </w:pPr>
      <w:bookmarkStart w:id="0" w:name="_GoBack"/>
      <w:bookmarkEnd w:id="0"/>
      <w:r w:rsidRPr="007124F6">
        <w:rPr>
          <w:szCs w:val="26"/>
        </w:rPr>
        <w:lastRenderedPageBreak/>
        <w:t xml:space="preserve">Obec </w:t>
      </w:r>
      <w:r w:rsidR="00B4126C" w:rsidRPr="007124F6">
        <w:rPr>
          <w:szCs w:val="26"/>
        </w:rPr>
        <w:t>Jarok</w:t>
      </w:r>
      <w:r w:rsidRPr="007124F6">
        <w:rPr>
          <w:szCs w:val="26"/>
        </w:rPr>
        <w:t xml:space="preserve"> na základe § 6 a § 11 ods. 4 písm. g) zákona NR SR č. 369/ 1990 Zb. o obecnom zriadení v znení neskorších zmien a doplnkov vydáva pre územie obce </w:t>
      </w:r>
      <w:r w:rsidR="00B4126C" w:rsidRPr="007124F6">
        <w:rPr>
          <w:szCs w:val="26"/>
        </w:rPr>
        <w:t>Jarok</w:t>
      </w:r>
      <w:r w:rsidRPr="007124F6">
        <w:rPr>
          <w:szCs w:val="26"/>
        </w:rPr>
        <w:t xml:space="preserve"> toto všeobecne záväzné nariadenie o vymedzení miest na umiestňovanie volebných plagátov v čase volebnej kampane.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27" w:line="259" w:lineRule="auto"/>
        <w:ind w:left="0" w:right="0" w:firstLine="0"/>
        <w:jc w:val="left"/>
        <w:rPr>
          <w:szCs w:val="26"/>
        </w:rPr>
      </w:pPr>
      <w:r w:rsidRPr="007124F6">
        <w:rPr>
          <w:szCs w:val="26"/>
        </w:rPr>
        <w:t xml:space="preserve"> </w:t>
      </w:r>
    </w:p>
    <w:p w:rsidR="008D02F3" w:rsidRPr="007124F6" w:rsidRDefault="00895207">
      <w:pPr>
        <w:pStyle w:val="Nadpis1"/>
        <w:rPr>
          <w:szCs w:val="26"/>
        </w:rPr>
      </w:pPr>
      <w:r w:rsidRPr="007124F6">
        <w:rPr>
          <w:szCs w:val="26"/>
        </w:rPr>
        <w:t xml:space="preserve">§ 1 Účel nariadenia </w:t>
      </w:r>
    </w:p>
    <w:p w:rsidR="008D02F3" w:rsidRPr="007124F6" w:rsidRDefault="00895207">
      <w:pPr>
        <w:spacing w:after="22" w:line="259" w:lineRule="auto"/>
        <w:ind w:left="65" w:right="0" w:firstLine="0"/>
        <w:jc w:val="center"/>
        <w:rPr>
          <w:szCs w:val="26"/>
        </w:rPr>
      </w:pPr>
      <w:r w:rsidRPr="007124F6">
        <w:rPr>
          <w:b/>
          <w:szCs w:val="26"/>
        </w:rPr>
        <w:t xml:space="preserve"> </w:t>
      </w:r>
    </w:p>
    <w:p w:rsidR="008D02F3" w:rsidRPr="007124F6" w:rsidRDefault="00895207">
      <w:pPr>
        <w:numPr>
          <w:ilvl w:val="0"/>
          <w:numId w:val="1"/>
        </w:numPr>
        <w:ind w:right="0" w:hanging="360"/>
        <w:rPr>
          <w:szCs w:val="26"/>
        </w:rPr>
      </w:pPr>
      <w:r w:rsidRPr="007124F6">
        <w:rPr>
          <w:szCs w:val="26"/>
        </w:rPr>
        <w:t xml:space="preserve">Toto všeobecne záväzné nariadenie o vymedzení miest na umiestňovanie volebných plagátov (ďalej len „VZN“), prípadne iných nosičov informácií v čase volebnej kampane upravuje postup kandidujúcich politických strán alebo koalícií a nezávislých kandidátov pri umiestňovaní volebných plagátov a iných nosičov informácií na verejných priestranstvách v Obci </w:t>
      </w:r>
      <w:r w:rsidR="00B4126C" w:rsidRPr="007124F6">
        <w:rPr>
          <w:szCs w:val="26"/>
        </w:rPr>
        <w:t>Jarok</w:t>
      </w:r>
      <w:r w:rsidRPr="007124F6">
        <w:rPr>
          <w:szCs w:val="26"/>
        </w:rPr>
        <w:t xml:space="preserve">  v čase volebnej kampane: </w:t>
      </w:r>
    </w:p>
    <w:p w:rsidR="008D02F3" w:rsidRPr="007124F6" w:rsidRDefault="00895207">
      <w:pPr>
        <w:numPr>
          <w:ilvl w:val="1"/>
          <w:numId w:val="1"/>
        </w:numPr>
        <w:ind w:right="0" w:hanging="360"/>
        <w:rPr>
          <w:szCs w:val="26"/>
        </w:rPr>
      </w:pPr>
      <w:r w:rsidRPr="007124F6">
        <w:rPr>
          <w:szCs w:val="26"/>
        </w:rPr>
        <w:t xml:space="preserve">volieb prezidenta SR </w:t>
      </w:r>
    </w:p>
    <w:p w:rsidR="008D02F3" w:rsidRPr="007124F6" w:rsidRDefault="00895207">
      <w:pPr>
        <w:numPr>
          <w:ilvl w:val="1"/>
          <w:numId w:val="1"/>
        </w:numPr>
        <w:ind w:right="0" w:hanging="360"/>
        <w:rPr>
          <w:szCs w:val="26"/>
        </w:rPr>
      </w:pPr>
      <w:r w:rsidRPr="007124F6">
        <w:rPr>
          <w:szCs w:val="26"/>
        </w:rPr>
        <w:t xml:space="preserve">volieb do Národnej rady SR </w:t>
      </w:r>
    </w:p>
    <w:p w:rsidR="008D02F3" w:rsidRPr="007124F6" w:rsidRDefault="00895207">
      <w:pPr>
        <w:numPr>
          <w:ilvl w:val="1"/>
          <w:numId w:val="1"/>
        </w:numPr>
        <w:ind w:right="0" w:hanging="360"/>
        <w:rPr>
          <w:szCs w:val="26"/>
        </w:rPr>
      </w:pPr>
      <w:r w:rsidRPr="007124F6">
        <w:rPr>
          <w:szCs w:val="26"/>
        </w:rPr>
        <w:t xml:space="preserve">volieb do Európskeho parlamentu </w:t>
      </w:r>
    </w:p>
    <w:p w:rsidR="008D02F3" w:rsidRPr="007124F6" w:rsidRDefault="00895207">
      <w:pPr>
        <w:numPr>
          <w:ilvl w:val="1"/>
          <w:numId w:val="1"/>
        </w:numPr>
        <w:ind w:right="0" w:hanging="360"/>
        <w:rPr>
          <w:szCs w:val="26"/>
        </w:rPr>
      </w:pPr>
      <w:r w:rsidRPr="007124F6">
        <w:rPr>
          <w:szCs w:val="26"/>
        </w:rPr>
        <w:t xml:space="preserve">volieb do orgánov samosprávnych krajov </w:t>
      </w:r>
    </w:p>
    <w:p w:rsidR="008D02F3" w:rsidRPr="007124F6" w:rsidRDefault="00895207">
      <w:pPr>
        <w:numPr>
          <w:ilvl w:val="1"/>
          <w:numId w:val="1"/>
        </w:numPr>
        <w:ind w:right="0" w:hanging="360"/>
        <w:rPr>
          <w:szCs w:val="26"/>
        </w:rPr>
      </w:pPr>
      <w:r w:rsidRPr="007124F6">
        <w:rPr>
          <w:szCs w:val="26"/>
        </w:rPr>
        <w:t xml:space="preserve">volieb do orgánov samosprávy obcí. </w:t>
      </w:r>
    </w:p>
    <w:p w:rsidR="008D02F3" w:rsidRPr="007124F6" w:rsidRDefault="00895207">
      <w:pPr>
        <w:spacing w:after="29" w:line="259" w:lineRule="auto"/>
        <w:ind w:left="0" w:right="0" w:firstLine="0"/>
        <w:jc w:val="left"/>
        <w:rPr>
          <w:szCs w:val="26"/>
        </w:rPr>
      </w:pPr>
      <w:r w:rsidRPr="007124F6">
        <w:rPr>
          <w:szCs w:val="26"/>
        </w:rPr>
        <w:t xml:space="preserve"> </w:t>
      </w:r>
    </w:p>
    <w:p w:rsidR="008D02F3" w:rsidRPr="007124F6" w:rsidRDefault="00895207">
      <w:pPr>
        <w:numPr>
          <w:ilvl w:val="0"/>
          <w:numId w:val="1"/>
        </w:numPr>
        <w:ind w:right="0" w:hanging="360"/>
        <w:rPr>
          <w:szCs w:val="26"/>
        </w:rPr>
      </w:pPr>
      <w:r w:rsidRPr="007124F6">
        <w:rPr>
          <w:szCs w:val="26"/>
        </w:rPr>
        <w:t xml:space="preserve">Volebnou kampaňou sa pre účely tohto VZN rozumie činnosť politickej strany, koalície alebo nezávislého kandidáta, prípadne ďalších subjektov zameraná na podporu alebo slúžiaca na prospech kandidujúcej politickej strany, koalície alebo nezávislého kandidáta formou umiestňovania plagátov, prípadne iných nosičov informácií na verejných priestranstvách obce. Podrobnosti o podmienkach volebných kampaní podľa ods. 1/ ustanovuje platná legislatíva SR. </w:t>
      </w:r>
    </w:p>
    <w:p w:rsidR="00FF70F6" w:rsidRPr="007124F6" w:rsidRDefault="00FF70F6" w:rsidP="00FF70F6">
      <w:pPr>
        <w:ind w:right="0"/>
        <w:rPr>
          <w:szCs w:val="26"/>
        </w:rPr>
      </w:pPr>
    </w:p>
    <w:p w:rsidR="00FF70F6" w:rsidRPr="007124F6" w:rsidRDefault="00FF70F6" w:rsidP="00FF70F6">
      <w:pPr>
        <w:ind w:right="0"/>
        <w:rPr>
          <w:szCs w:val="26"/>
        </w:rPr>
      </w:pPr>
    </w:p>
    <w:p w:rsidR="00FF70F6" w:rsidRPr="007124F6" w:rsidRDefault="00FF70F6" w:rsidP="00FF70F6">
      <w:pPr>
        <w:ind w:right="0"/>
        <w:jc w:val="center"/>
        <w:rPr>
          <w:b/>
          <w:szCs w:val="26"/>
        </w:rPr>
      </w:pPr>
      <w:r w:rsidRPr="007124F6">
        <w:rPr>
          <w:b/>
          <w:szCs w:val="26"/>
        </w:rPr>
        <w:t>§ 2 Vymedzenie pojmov</w:t>
      </w:r>
    </w:p>
    <w:p w:rsidR="00FF70F6" w:rsidRPr="007124F6" w:rsidRDefault="00FF70F6" w:rsidP="00FF70F6">
      <w:pPr>
        <w:ind w:right="0"/>
        <w:jc w:val="center"/>
        <w:rPr>
          <w:b/>
          <w:szCs w:val="26"/>
        </w:rPr>
      </w:pPr>
    </w:p>
    <w:p w:rsidR="00FF70F6" w:rsidRPr="007124F6" w:rsidRDefault="00FF70F6" w:rsidP="00FF70F6">
      <w:pPr>
        <w:pStyle w:val="Odsekzoznamu"/>
        <w:numPr>
          <w:ilvl w:val="0"/>
          <w:numId w:val="8"/>
        </w:numPr>
        <w:ind w:right="0"/>
        <w:rPr>
          <w:b/>
          <w:szCs w:val="26"/>
        </w:rPr>
      </w:pPr>
      <w:r w:rsidRPr="007124F6">
        <w:rPr>
          <w:color w:val="auto"/>
          <w:szCs w:val="26"/>
        </w:rPr>
        <w:t xml:space="preserve">Za kandidujúci subjekt sa na účely tohto VZN rozumie kandidujúci politický subjekt (politická strana alebo hnutie alebo ich koalícia), petičný výbor zastupujúci kandidáta na funkciu prezidenta SR alebo kandidujúci jednotlivec. </w:t>
      </w:r>
    </w:p>
    <w:p w:rsidR="00FF70F6" w:rsidRPr="007124F6" w:rsidRDefault="00FF70F6" w:rsidP="00FF70F6">
      <w:pPr>
        <w:pStyle w:val="Odsekzoznamu"/>
        <w:numPr>
          <w:ilvl w:val="0"/>
          <w:numId w:val="8"/>
        </w:numPr>
        <w:ind w:right="0"/>
        <w:rPr>
          <w:b/>
          <w:szCs w:val="26"/>
        </w:rPr>
      </w:pPr>
      <w:r w:rsidRPr="007124F6">
        <w:rPr>
          <w:color w:val="auto"/>
          <w:szCs w:val="26"/>
        </w:rPr>
        <w:t xml:space="preserve">Za volebný plagát sa na účely tohto VZN považujú tlačené alebo písané materiály aj letáky, oznamy, prospekty, samolepky alebo iné materiály, ktoré svojím obsahom propagujú vo voľbách kandidujúci subjekt. </w:t>
      </w:r>
    </w:p>
    <w:p w:rsidR="00FF70F6" w:rsidRPr="007124F6" w:rsidRDefault="00FF70F6" w:rsidP="00FF70F6">
      <w:pPr>
        <w:pStyle w:val="Odsekzoznamu"/>
        <w:numPr>
          <w:ilvl w:val="0"/>
          <w:numId w:val="8"/>
        </w:numPr>
        <w:ind w:right="0"/>
        <w:rPr>
          <w:b/>
          <w:szCs w:val="26"/>
        </w:rPr>
      </w:pPr>
      <w:r w:rsidRPr="007124F6">
        <w:rPr>
          <w:color w:val="auto"/>
          <w:szCs w:val="26"/>
        </w:rPr>
        <w:t>Za zvukový vstup do obecného rozhlasu sa na účely tohto VZN rozumie zvuková relácia, pripravená za účelom upútať pozornosť na kandidujúci subjekt, ktorú poskytuje dotknutý subjekt a ktorú v pracovných dňoch v obvyklej vysielacej dobe v obecnom rozhlase odvysiela poverený zamestnanec obecného úradu.</w:t>
      </w:r>
    </w:p>
    <w:p w:rsidR="00FF70F6" w:rsidRPr="00D4777C" w:rsidRDefault="00FF70F6" w:rsidP="00D4777C">
      <w:pPr>
        <w:pStyle w:val="Odsekzoznamu"/>
        <w:numPr>
          <w:ilvl w:val="0"/>
          <w:numId w:val="8"/>
        </w:numPr>
        <w:ind w:right="0"/>
        <w:rPr>
          <w:b/>
          <w:szCs w:val="26"/>
        </w:rPr>
      </w:pPr>
      <w:r w:rsidRPr="007124F6">
        <w:rPr>
          <w:color w:val="auto"/>
          <w:szCs w:val="26"/>
        </w:rPr>
        <w:t xml:space="preserve"> Zodpovednosť za obsah zvukovej nahrávky do obecného rozhlasu nesie v plnej miere</w:t>
      </w:r>
      <w:r w:rsidR="007124F6">
        <w:rPr>
          <w:color w:val="auto"/>
          <w:szCs w:val="26"/>
        </w:rPr>
        <w:t xml:space="preserve"> </w:t>
      </w:r>
      <w:r w:rsidRPr="007124F6">
        <w:rPr>
          <w:color w:val="auto"/>
          <w:szCs w:val="26"/>
        </w:rPr>
        <w:t>kandidujúci subjekt.</w:t>
      </w:r>
    </w:p>
    <w:p w:rsidR="008D02F3" w:rsidRPr="007124F6" w:rsidRDefault="00FF70F6">
      <w:pPr>
        <w:pStyle w:val="Nadpis1"/>
        <w:rPr>
          <w:szCs w:val="26"/>
        </w:rPr>
      </w:pPr>
      <w:r w:rsidRPr="007124F6">
        <w:rPr>
          <w:szCs w:val="26"/>
        </w:rPr>
        <w:lastRenderedPageBreak/>
        <w:t>§ 3</w:t>
      </w:r>
      <w:r w:rsidR="00895207" w:rsidRPr="007124F6">
        <w:rPr>
          <w:szCs w:val="26"/>
        </w:rPr>
        <w:t xml:space="preserve"> Miesto na umiestňovanie volebných plagátov </w:t>
      </w:r>
    </w:p>
    <w:p w:rsidR="008D02F3" w:rsidRPr="007124F6" w:rsidRDefault="00895207">
      <w:pPr>
        <w:spacing w:after="22" w:line="259" w:lineRule="auto"/>
        <w:ind w:left="65" w:right="0" w:firstLine="0"/>
        <w:jc w:val="center"/>
        <w:rPr>
          <w:szCs w:val="26"/>
        </w:rPr>
      </w:pPr>
      <w:r w:rsidRPr="007124F6">
        <w:rPr>
          <w:b/>
          <w:szCs w:val="26"/>
        </w:rPr>
        <w:t xml:space="preserve"> </w:t>
      </w:r>
    </w:p>
    <w:p w:rsidR="008D02F3" w:rsidRPr="007124F6" w:rsidRDefault="00895207">
      <w:pPr>
        <w:numPr>
          <w:ilvl w:val="0"/>
          <w:numId w:val="2"/>
        </w:numPr>
        <w:ind w:right="0" w:hanging="360"/>
        <w:rPr>
          <w:szCs w:val="26"/>
        </w:rPr>
      </w:pPr>
      <w:r w:rsidRPr="007124F6">
        <w:rPr>
          <w:szCs w:val="26"/>
        </w:rPr>
        <w:t xml:space="preserve">Umiestňovať volebné plagáty, prípadne iné nosiče informácií (ďalej len „volebné plagáty“) v čase volebnej kampane možno len na miestach vyhradených v súlade s týmto VZN. </w:t>
      </w:r>
    </w:p>
    <w:p w:rsidR="008D02F3" w:rsidRPr="007124F6" w:rsidRDefault="00895207">
      <w:pPr>
        <w:numPr>
          <w:ilvl w:val="0"/>
          <w:numId w:val="2"/>
        </w:numPr>
        <w:ind w:right="0" w:hanging="360"/>
        <w:rPr>
          <w:szCs w:val="26"/>
        </w:rPr>
      </w:pPr>
      <w:r w:rsidRPr="007124F6">
        <w:rPr>
          <w:szCs w:val="26"/>
        </w:rPr>
        <w:t>Na umiestnenie volebných plagátov v čase volebnej kampane sú vyhradené miesta na umiestňovanie volebných plagátov rozmiestnené na verejných pri</w:t>
      </w:r>
      <w:r w:rsidR="00741F0F" w:rsidRPr="007124F6">
        <w:rPr>
          <w:szCs w:val="26"/>
        </w:rPr>
        <w:t>estranstvách na území Obce Jarok</w:t>
      </w:r>
      <w:r w:rsidRPr="007124F6">
        <w:rPr>
          <w:szCs w:val="26"/>
        </w:rPr>
        <w:t xml:space="preserve"> nasledovne: </w:t>
      </w:r>
    </w:p>
    <w:p w:rsidR="008D02F3" w:rsidRPr="007124F6" w:rsidRDefault="007124F6">
      <w:pPr>
        <w:numPr>
          <w:ilvl w:val="1"/>
          <w:numId w:val="2"/>
        </w:numPr>
        <w:spacing w:after="44"/>
        <w:ind w:right="0" w:hanging="360"/>
        <w:rPr>
          <w:color w:val="auto"/>
          <w:szCs w:val="26"/>
        </w:rPr>
      </w:pPr>
      <w:r w:rsidRPr="007124F6">
        <w:rPr>
          <w:color w:val="auto"/>
          <w:szCs w:val="26"/>
        </w:rPr>
        <w:t>drevená tabuľa vedľa autobusovej zastávky pred Kultúrnym domom</w:t>
      </w:r>
    </w:p>
    <w:p w:rsidR="007124F6" w:rsidRPr="007124F6" w:rsidRDefault="007124F6" w:rsidP="007124F6">
      <w:pPr>
        <w:spacing w:after="44"/>
        <w:ind w:left="1440" w:right="0" w:firstLine="0"/>
        <w:rPr>
          <w:color w:val="auto"/>
          <w:szCs w:val="26"/>
        </w:rPr>
      </w:pPr>
    </w:p>
    <w:p w:rsidR="008D02F3" w:rsidRPr="007124F6" w:rsidRDefault="00895207">
      <w:pPr>
        <w:numPr>
          <w:ilvl w:val="0"/>
          <w:numId w:val="2"/>
        </w:numPr>
        <w:ind w:right="0" w:hanging="360"/>
        <w:rPr>
          <w:szCs w:val="26"/>
        </w:rPr>
      </w:pPr>
      <w:r w:rsidRPr="007124F6">
        <w:rPr>
          <w:szCs w:val="26"/>
        </w:rPr>
        <w:t xml:space="preserve">Plocha pre účely umiestnenia volebných plagátov bude rozdelená tak, aby rozdelenie zodpovedalo zásadám rovnosti kandidujúcich politických strán, koalícií a nezávislých kandidátov. </w:t>
      </w:r>
      <w:r w:rsidR="00741F0F" w:rsidRPr="007124F6">
        <w:rPr>
          <w:szCs w:val="26"/>
        </w:rPr>
        <w:t>Reálne rozdelenie vyhradenej plochy pre jednotlivé volebné plagáty obec Jarok vykoná až po zverejnení vyžrebovanýc</w:t>
      </w:r>
      <w:r w:rsidR="001265E4" w:rsidRPr="007124F6">
        <w:rPr>
          <w:szCs w:val="26"/>
        </w:rPr>
        <w:t>h čísiel zaregistrovaných kandid</w:t>
      </w:r>
      <w:r w:rsidR="00741F0F" w:rsidRPr="007124F6">
        <w:rPr>
          <w:szCs w:val="26"/>
        </w:rPr>
        <w:t>átnych listín. Po zverej</w:t>
      </w:r>
      <w:r w:rsidR="001265E4" w:rsidRPr="007124F6">
        <w:rPr>
          <w:szCs w:val="26"/>
        </w:rPr>
        <w:t>není vyžrebovaných čísiel sa vyhradená plocha rozdelí v rovnakom pomere podľa počtu kandidujúcich subjektov, jednotlivé rozdelené plochy sa číselne označia, pričom kandidujúca politická strana umiestni svoj volebný plagát na plochu označenú číslom zhodujúcim sa s vyžrebovaným číslom určeným jej kandidátnej listine. Takto vyhradená plocha bude k dispozícii zaregistrovaným politickým stranám až do skončenia volebnej kampane, bez ohľadu na to, či kandidujúci subjekt svoje právo na umiestnenie volebného plagátu využije, alebo nie. V prípade, ak kandidujúci subjekt nevyužije svoje právo na umiestnenie volebného plagátu na vyhradenej ploche na verejnom priestranstve, ostane miesto určené na umiestnenie volebného plagátu pre daný kandidujúci subjekt prázdne. Toto miesto nie je možné použiť na umiestnenie volebných plagátov iných kandidujúcich subjektov.</w:t>
      </w:r>
    </w:p>
    <w:p w:rsidR="008D02F3" w:rsidRPr="007124F6" w:rsidRDefault="00895207">
      <w:pPr>
        <w:spacing w:after="0" w:line="259" w:lineRule="auto"/>
        <w:ind w:left="720" w:right="0" w:firstLine="0"/>
        <w:jc w:val="left"/>
        <w:rPr>
          <w:szCs w:val="26"/>
        </w:rPr>
      </w:pPr>
      <w:r w:rsidRPr="007124F6">
        <w:rPr>
          <w:szCs w:val="26"/>
        </w:rPr>
        <w:t xml:space="preserve"> </w:t>
      </w:r>
    </w:p>
    <w:p w:rsidR="008D02F3" w:rsidRPr="007124F6" w:rsidRDefault="00895207">
      <w:pPr>
        <w:spacing w:after="0" w:line="259" w:lineRule="auto"/>
        <w:ind w:left="65" w:right="0" w:firstLine="0"/>
        <w:jc w:val="center"/>
        <w:rPr>
          <w:szCs w:val="26"/>
        </w:rPr>
      </w:pPr>
      <w:r w:rsidRPr="007124F6">
        <w:rPr>
          <w:b/>
          <w:szCs w:val="26"/>
        </w:rPr>
        <w:t xml:space="preserve"> </w:t>
      </w:r>
    </w:p>
    <w:p w:rsidR="008D02F3" w:rsidRPr="007124F6" w:rsidRDefault="00FF70F6" w:rsidP="00FF70F6">
      <w:pPr>
        <w:spacing w:after="26" w:line="259" w:lineRule="auto"/>
        <w:ind w:left="1" w:right="0" w:firstLine="0"/>
        <w:jc w:val="center"/>
        <w:rPr>
          <w:b/>
          <w:szCs w:val="26"/>
        </w:rPr>
      </w:pPr>
      <w:r w:rsidRPr="007124F6">
        <w:rPr>
          <w:b/>
          <w:szCs w:val="26"/>
        </w:rPr>
        <w:t xml:space="preserve">§  4 </w:t>
      </w:r>
      <w:proofErr w:type="spellStart"/>
      <w:r w:rsidR="00895207" w:rsidRPr="007124F6">
        <w:rPr>
          <w:b/>
          <w:szCs w:val="26"/>
        </w:rPr>
        <w:t>Vylepovacia</w:t>
      </w:r>
      <w:proofErr w:type="spellEnd"/>
      <w:r w:rsidR="00895207" w:rsidRPr="007124F6">
        <w:rPr>
          <w:b/>
          <w:szCs w:val="26"/>
        </w:rPr>
        <w:t xml:space="preserve"> činnosť a údržba </w:t>
      </w:r>
      <w:proofErr w:type="spellStart"/>
      <w:r w:rsidR="00895207" w:rsidRPr="007124F6">
        <w:rPr>
          <w:b/>
          <w:szCs w:val="26"/>
        </w:rPr>
        <w:t>vylepovacích</w:t>
      </w:r>
      <w:proofErr w:type="spellEnd"/>
      <w:r w:rsidR="00895207" w:rsidRPr="007124F6">
        <w:rPr>
          <w:b/>
          <w:szCs w:val="26"/>
        </w:rPr>
        <w:t xml:space="preserve"> plôch </w:t>
      </w:r>
    </w:p>
    <w:p w:rsidR="001265E4" w:rsidRPr="007124F6" w:rsidRDefault="001265E4">
      <w:pPr>
        <w:spacing w:after="0" w:line="259" w:lineRule="auto"/>
        <w:ind w:left="2002" w:right="0" w:firstLine="0"/>
        <w:jc w:val="left"/>
        <w:rPr>
          <w:b/>
          <w:szCs w:val="26"/>
        </w:rPr>
      </w:pPr>
    </w:p>
    <w:p w:rsidR="008D02F3" w:rsidRPr="007124F6" w:rsidRDefault="00895207" w:rsidP="001265E4">
      <w:pPr>
        <w:pStyle w:val="Odsekzoznamu"/>
        <w:numPr>
          <w:ilvl w:val="0"/>
          <w:numId w:val="7"/>
        </w:numPr>
        <w:spacing w:after="0" w:line="259" w:lineRule="auto"/>
        <w:ind w:right="0"/>
        <w:rPr>
          <w:szCs w:val="26"/>
        </w:rPr>
      </w:pPr>
      <w:r w:rsidRPr="007124F6">
        <w:rPr>
          <w:szCs w:val="26"/>
        </w:rPr>
        <w:t xml:space="preserve">Vylepovanie volebných plagátov a údržbu </w:t>
      </w:r>
      <w:proofErr w:type="spellStart"/>
      <w:r w:rsidRPr="007124F6">
        <w:rPr>
          <w:szCs w:val="26"/>
        </w:rPr>
        <w:t>výlepových</w:t>
      </w:r>
      <w:proofErr w:type="spellEnd"/>
      <w:r w:rsidRPr="007124F6">
        <w:rPr>
          <w:szCs w:val="26"/>
        </w:rPr>
        <w:t xml:space="preserve"> plôch počas volebnej kampane      na určenej ploche na </w:t>
      </w:r>
      <w:r w:rsidR="007124F6" w:rsidRPr="007124F6">
        <w:rPr>
          <w:szCs w:val="26"/>
        </w:rPr>
        <w:t>drevenej tabuli</w:t>
      </w:r>
      <w:r w:rsidRPr="007124F6">
        <w:rPr>
          <w:szCs w:val="26"/>
        </w:rPr>
        <w:t xml:space="preserve"> si zaisťuje politická strana alebo koalícia a      nezávislý kandidát sám na vlastné náklady. </w:t>
      </w:r>
    </w:p>
    <w:p w:rsidR="008D02F3" w:rsidRPr="007124F6" w:rsidRDefault="00895207" w:rsidP="001265E4">
      <w:pPr>
        <w:pStyle w:val="Odsekzoznamu"/>
        <w:numPr>
          <w:ilvl w:val="0"/>
          <w:numId w:val="7"/>
        </w:numPr>
        <w:spacing w:after="0" w:line="259" w:lineRule="auto"/>
        <w:ind w:right="0"/>
        <w:rPr>
          <w:szCs w:val="26"/>
        </w:rPr>
      </w:pPr>
      <w:r w:rsidRPr="007124F6">
        <w:rPr>
          <w:szCs w:val="26"/>
        </w:rPr>
        <w:t xml:space="preserve">Zodpovednosť za obsah volebných plagátov majú politické strany alebo koalície a     nezávislí kandidáti. </w:t>
      </w:r>
    </w:p>
    <w:p w:rsidR="007124F6" w:rsidRPr="007124F6" w:rsidRDefault="007124F6" w:rsidP="007124F6">
      <w:pPr>
        <w:pStyle w:val="Odsekzoznamu"/>
        <w:numPr>
          <w:ilvl w:val="0"/>
          <w:numId w:val="7"/>
        </w:numPr>
        <w:rPr>
          <w:szCs w:val="26"/>
        </w:rPr>
      </w:pPr>
      <w:r w:rsidRPr="007124F6">
        <w:rPr>
          <w:szCs w:val="26"/>
        </w:rPr>
        <w:t xml:space="preserve">Nie je dovolené prelepovaním znehodnocovať plagáty konkurenčných kandidujúcich subjektov na miestach určených na vylepovanie plagátov. </w:t>
      </w:r>
    </w:p>
    <w:p w:rsidR="007124F6" w:rsidRPr="007124F6" w:rsidRDefault="007124F6" w:rsidP="007124F6">
      <w:pPr>
        <w:pStyle w:val="Odsekzoznamu"/>
        <w:numPr>
          <w:ilvl w:val="0"/>
          <w:numId w:val="7"/>
        </w:numPr>
        <w:rPr>
          <w:szCs w:val="26"/>
        </w:rPr>
      </w:pPr>
      <w:r w:rsidRPr="007124F6">
        <w:rPr>
          <w:szCs w:val="26"/>
        </w:rPr>
        <w:t xml:space="preserve">Údržba plochy, určená na vylepovanie plagátov, je vecou Obce Jarok a Obec ju vykoná spravidla do 10 dní po uskutočnení volieb alebo referenda. </w:t>
      </w:r>
    </w:p>
    <w:p w:rsidR="00FF70F6" w:rsidRPr="007124F6" w:rsidRDefault="00FF70F6" w:rsidP="00D4777C">
      <w:pPr>
        <w:spacing w:after="0" w:line="259" w:lineRule="auto"/>
        <w:ind w:left="0" w:right="0" w:firstLine="0"/>
        <w:rPr>
          <w:szCs w:val="26"/>
        </w:rPr>
      </w:pPr>
    </w:p>
    <w:p w:rsidR="00FF70F6" w:rsidRPr="007124F6" w:rsidRDefault="00FF70F6" w:rsidP="00FF70F6">
      <w:pPr>
        <w:spacing w:after="0" w:line="259" w:lineRule="auto"/>
        <w:ind w:right="0"/>
        <w:jc w:val="center"/>
        <w:rPr>
          <w:b/>
          <w:szCs w:val="26"/>
        </w:rPr>
      </w:pPr>
      <w:r w:rsidRPr="007124F6">
        <w:rPr>
          <w:b/>
          <w:szCs w:val="26"/>
        </w:rPr>
        <w:lastRenderedPageBreak/>
        <w:t>§ 5 Vedenie predvolebnej kampane v obecnom rozhlase</w:t>
      </w:r>
    </w:p>
    <w:p w:rsidR="0077003F" w:rsidRDefault="0077003F" w:rsidP="0077003F">
      <w:pPr>
        <w:spacing w:after="0" w:line="259" w:lineRule="auto"/>
        <w:ind w:right="0"/>
        <w:rPr>
          <w:color w:val="auto"/>
          <w:szCs w:val="26"/>
        </w:rPr>
      </w:pPr>
    </w:p>
    <w:p w:rsidR="0077003F" w:rsidRPr="0077003F" w:rsidRDefault="0077003F" w:rsidP="0077003F">
      <w:pPr>
        <w:pStyle w:val="Odsekzoznamu"/>
        <w:numPr>
          <w:ilvl w:val="0"/>
          <w:numId w:val="9"/>
        </w:numPr>
        <w:spacing w:after="0" w:line="259" w:lineRule="auto"/>
        <w:ind w:right="0"/>
        <w:rPr>
          <w:color w:val="auto"/>
          <w:szCs w:val="26"/>
        </w:rPr>
      </w:pPr>
      <w:r>
        <w:rPr>
          <w:color w:val="auto"/>
          <w:szCs w:val="26"/>
        </w:rPr>
        <w:t xml:space="preserve">Obecný rozhlas je vylúčený pre všetky druhy volieb uvedených v § 1 </w:t>
      </w:r>
      <w:proofErr w:type="spellStart"/>
      <w:r>
        <w:rPr>
          <w:color w:val="auto"/>
          <w:szCs w:val="26"/>
        </w:rPr>
        <w:t>odst</w:t>
      </w:r>
      <w:proofErr w:type="spellEnd"/>
      <w:r>
        <w:rPr>
          <w:color w:val="auto"/>
          <w:szCs w:val="26"/>
        </w:rPr>
        <w:t>. 1 z každej činnosti súvisiacej s predvolebnou kampaňou.</w:t>
      </w:r>
    </w:p>
    <w:p w:rsidR="00FF70F6" w:rsidRPr="0077003F" w:rsidRDefault="00FF70F6" w:rsidP="0077003F">
      <w:pPr>
        <w:pStyle w:val="Odsekzoznamu"/>
        <w:numPr>
          <w:ilvl w:val="0"/>
          <w:numId w:val="9"/>
        </w:numPr>
        <w:spacing w:after="0" w:line="240" w:lineRule="auto"/>
        <w:ind w:right="0"/>
        <w:rPr>
          <w:color w:val="auto"/>
          <w:szCs w:val="26"/>
        </w:rPr>
      </w:pPr>
      <w:r w:rsidRPr="0077003F">
        <w:rPr>
          <w:color w:val="auto"/>
          <w:szCs w:val="26"/>
        </w:rPr>
        <w:t xml:space="preserve">Pri </w:t>
      </w:r>
      <w:r w:rsidR="0077003F">
        <w:rPr>
          <w:color w:val="auto"/>
          <w:szCs w:val="26"/>
        </w:rPr>
        <w:t>všetkých</w:t>
      </w:r>
      <w:r w:rsidRPr="0077003F">
        <w:rPr>
          <w:color w:val="auto"/>
          <w:szCs w:val="26"/>
        </w:rPr>
        <w:t xml:space="preserve"> druhoch volieb poverený pracovník Obce Jarok na základe požiadavky </w:t>
      </w:r>
      <w:r w:rsidR="0077003F">
        <w:rPr>
          <w:color w:val="auto"/>
          <w:szCs w:val="26"/>
        </w:rPr>
        <w:t>kandidujúceho subjektu</w:t>
      </w:r>
      <w:r w:rsidRPr="0077003F">
        <w:rPr>
          <w:color w:val="auto"/>
          <w:szCs w:val="26"/>
        </w:rPr>
        <w:t xml:space="preserve"> odvysiela len oznam o konaní stretnutia s občanmi bezplatne. </w:t>
      </w:r>
    </w:p>
    <w:p w:rsidR="00FF70F6" w:rsidRPr="007124F6" w:rsidRDefault="00FF70F6" w:rsidP="00FF70F6">
      <w:pPr>
        <w:spacing w:after="0" w:line="259" w:lineRule="auto"/>
        <w:ind w:right="0"/>
        <w:rPr>
          <w:b/>
          <w:szCs w:val="26"/>
        </w:rPr>
      </w:pPr>
    </w:p>
    <w:p w:rsidR="007124F6" w:rsidRDefault="007124F6">
      <w:pPr>
        <w:spacing w:after="0" w:line="259" w:lineRule="auto"/>
        <w:ind w:left="65" w:right="0" w:firstLine="0"/>
        <w:jc w:val="center"/>
        <w:rPr>
          <w:b/>
          <w:szCs w:val="26"/>
        </w:rPr>
      </w:pPr>
    </w:p>
    <w:p w:rsidR="008D02F3" w:rsidRPr="007124F6" w:rsidRDefault="00FF70F6" w:rsidP="00FF70F6">
      <w:pPr>
        <w:pStyle w:val="Nadpis1"/>
        <w:spacing w:after="30"/>
        <w:rPr>
          <w:szCs w:val="26"/>
        </w:rPr>
      </w:pPr>
      <w:r w:rsidRPr="007124F6">
        <w:rPr>
          <w:szCs w:val="26"/>
        </w:rPr>
        <w:t>§ 6</w:t>
      </w:r>
      <w:r w:rsidR="00895207" w:rsidRPr="007124F6">
        <w:rPr>
          <w:szCs w:val="26"/>
        </w:rPr>
        <w:t xml:space="preserve"> Kontrola dodržiavania ustanovení </w:t>
      </w:r>
    </w:p>
    <w:p w:rsidR="008D02F3" w:rsidRPr="007124F6" w:rsidRDefault="00895207">
      <w:pPr>
        <w:spacing w:after="19" w:line="259" w:lineRule="auto"/>
        <w:ind w:left="65" w:right="0" w:firstLine="0"/>
        <w:jc w:val="center"/>
        <w:rPr>
          <w:szCs w:val="26"/>
        </w:rPr>
      </w:pPr>
      <w:r w:rsidRPr="007124F6">
        <w:rPr>
          <w:b/>
          <w:szCs w:val="26"/>
        </w:rPr>
        <w:t xml:space="preserve"> </w:t>
      </w:r>
    </w:p>
    <w:p w:rsidR="008D02F3" w:rsidRPr="007124F6" w:rsidRDefault="00895207">
      <w:pPr>
        <w:ind w:right="0"/>
        <w:rPr>
          <w:szCs w:val="26"/>
        </w:rPr>
      </w:pPr>
      <w:r w:rsidRPr="007124F6">
        <w:rPr>
          <w:szCs w:val="26"/>
        </w:rPr>
        <w:t xml:space="preserve">Kontrolu nad dodržiavaním tohto VZN vykonávajú: </w:t>
      </w:r>
    </w:p>
    <w:p w:rsidR="00FF70F6" w:rsidRPr="007124F6" w:rsidRDefault="00895207">
      <w:pPr>
        <w:numPr>
          <w:ilvl w:val="0"/>
          <w:numId w:val="4"/>
        </w:numPr>
        <w:ind w:right="4222" w:hanging="360"/>
        <w:rPr>
          <w:szCs w:val="26"/>
        </w:rPr>
      </w:pPr>
      <w:r w:rsidRPr="007124F6">
        <w:rPr>
          <w:szCs w:val="26"/>
        </w:rPr>
        <w:t>poverení zamestnanci obecného úradu</w:t>
      </w:r>
    </w:p>
    <w:p w:rsidR="008D02F3" w:rsidRPr="007124F6" w:rsidRDefault="00895207" w:rsidP="00FF70F6">
      <w:pPr>
        <w:numPr>
          <w:ilvl w:val="0"/>
          <w:numId w:val="4"/>
        </w:numPr>
        <w:ind w:right="4222" w:hanging="360"/>
        <w:rPr>
          <w:szCs w:val="26"/>
        </w:rPr>
      </w:pPr>
      <w:r w:rsidRPr="007124F6">
        <w:rPr>
          <w:szCs w:val="26"/>
        </w:rPr>
        <w:t xml:space="preserve">poslanci obecného zastupiteľstva </w:t>
      </w:r>
    </w:p>
    <w:p w:rsidR="008D02F3" w:rsidRPr="007124F6" w:rsidRDefault="00895207">
      <w:pPr>
        <w:numPr>
          <w:ilvl w:val="0"/>
          <w:numId w:val="4"/>
        </w:numPr>
        <w:ind w:right="4222" w:hanging="360"/>
        <w:rPr>
          <w:szCs w:val="26"/>
        </w:rPr>
      </w:pPr>
      <w:r w:rsidRPr="007124F6">
        <w:rPr>
          <w:szCs w:val="26"/>
        </w:rPr>
        <w:t xml:space="preserve">hlavný kontrolór obce. </w:t>
      </w:r>
    </w:p>
    <w:p w:rsidR="00FF70F6" w:rsidRPr="007124F6" w:rsidRDefault="00895207" w:rsidP="007124F6">
      <w:pPr>
        <w:spacing w:after="0" w:line="259" w:lineRule="auto"/>
        <w:ind w:left="0" w:right="0" w:firstLine="0"/>
        <w:jc w:val="left"/>
        <w:rPr>
          <w:szCs w:val="26"/>
        </w:rPr>
      </w:pPr>
      <w:r w:rsidRPr="007124F6">
        <w:rPr>
          <w:szCs w:val="26"/>
        </w:rPr>
        <w:t xml:space="preserve"> </w:t>
      </w:r>
    </w:p>
    <w:p w:rsidR="008D02F3" w:rsidRPr="007124F6" w:rsidRDefault="00FF70F6">
      <w:pPr>
        <w:pStyle w:val="Nadpis1"/>
        <w:rPr>
          <w:szCs w:val="26"/>
        </w:rPr>
      </w:pPr>
      <w:r w:rsidRPr="007124F6">
        <w:rPr>
          <w:szCs w:val="26"/>
        </w:rPr>
        <w:t xml:space="preserve">§ 7 </w:t>
      </w:r>
      <w:r w:rsidR="00895207" w:rsidRPr="007124F6">
        <w:rPr>
          <w:szCs w:val="26"/>
        </w:rPr>
        <w:t xml:space="preserve">Sankcie </w:t>
      </w:r>
    </w:p>
    <w:p w:rsidR="008D02F3" w:rsidRPr="007124F6" w:rsidRDefault="00895207">
      <w:pPr>
        <w:spacing w:after="19" w:line="259" w:lineRule="auto"/>
        <w:ind w:left="65" w:right="0" w:firstLine="0"/>
        <w:jc w:val="center"/>
        <w:rPr>
          <w:szCs w:val="26"/>
        </w:rPr>
      </w:pPr>
      <w:r w:rsidRPr="007124F6">
        <w:rPr>
          <w:b/>
          <w:szCs w:val="26"/>
        </w:rPr>
        <w:t xml:space="preserve"> </w:t>
      </w:r>
    </w:p>
    <w:p w:rsidR="008D02F3" w:rsidRPr="007124F6" w:rsidRDefault="00895207">
      <w:pPr>
        <w:numPr>
          <w:ilvl w:val="0"/>
          <w:numId w:val="5"/>
        </w:numPr>
        <w:ind w:right="0" w:hanging="360"/>
        <w:rPr>
          <w:szCs w:val="26"/>
        </w:rPr>
      </w:pPr>
      <w:r w:rsidRPr="007124F6">
        <w:rPr>
          <w:szCs w:val="26"/>
        </w:rPr>
        <w:t xml:space="preserve">Porušenie ustanovení tohto VZN fyzickou osobou je priestupkom podľa zákona </w:t>
      </w:r>
    </w:p>
    <w:p w:rsidR="008D02F3" w:rsidRPr="007124F6" w:rsidRDefault="00895207">
      <w:pPr>
        <w:ind w:left="730" w:right="0"/>
        <w:rPr>
          <w:szCs w:val="26"/>
        </w:rPr>
      </w:pPr>
      <w:r w:rsidRPr="007124F6">
        <w:rPr>
          <w:szCs w:val="26"/>
        </w:rPr>
        <w:t xml:space="preserve">č. 372/ 1990 Zb. o priestupkoch v znení neskorších zmien a doplnkov. </w:t>
      </w:r>
    </w:p>
    <w:p w:rsidR="008D02F3" w:rsidRPr="007124F6" w:rsidRDefault="00895207">
      <w:pPr>
        <w:numPr>
          <w:ilvl w:val="0"/>
          <w:numId w:val="5"/>
        </w:numPr>
        <w:ind w:right="0" w:hanging="360"/>
        <w:rPr>
          <w:szCs w:val="26"/>
        </w:rPr>
      </w:pPr>
      <w:r w:rsidRPr="007124F6">
        <w:rPr>
          <w:szCs w:val="26"/>
        </w:rPr>
        <w:t xml:space="preserve">Za porušenie tohto VZN možno v zmysle § 86 písm. b) zákona č. 372/ 1990 Zb. o priestupkoch v znení neskorších zmien a doplnkov uložiť pokutu do výšky 33 € starosta obce. </w:t>
      </w:r>
    </w:p>
    <w:p w:rsidR="008D02F3" w:rsidRPr="007124F6" w:rsidRDefault="00895207">
      <w:pPr>
        <w:numPr>
          <w:ilvl w:val="0"/>
          <w:numId w:val="5"/>
        </w:numPr>
        <w:ind w:right="0" w:hanging="360"/>
        <w:rPr>
          <w:szCs w:val="26"/>
        </w:rPr>
      </w:pPr>
      <w:r w:rsidRPr="007124F6">
        <w:rPr>
          <w:szCs w:val="26"/>
        </w:rPr>
        <w:t xml:space="preserve">Právnickej osobe alebo fyzickej osobe oprávnenej na podnikanie, ktorá poruší toto VZN môže starosta obce v súlade s § 13 ods. 9 písm. a) a b) zákona č. 369/ 1990 Zb. o obecnom zriadení v znení neskorších zmien a doplnkov uložiť pokutu do výšky 6 638 €. </w:t>
      </w:r>
    </w:p>
    <w:p w:rsidR="008D02F3" w:rsidRPr="007124F6" w:rsidRDefault="00895207">
      <w:pPr>
        <w:numPr>
          <w:ilvl w:val="0"/>
          <w:numId w:val="5"/>
        </w:numPr>
        <w:ind w:right="0" w:hanging="360"/>
        <w:rPr>
          <w:szCs w:val="26"/>
        </w:rPr>
      </w:pPr>
      <w:r w:rsidRPr="007124F6">
        <w:rPr>
          <w:szCs w:val="26"/>
        </w:rPr>
        <w:t xml:space="preserve">Oprávnenia iných orgánov podľa osobitných predpisov nie sú týmto nariadením dotknuté. </w:t>
      </w:r>
    </w:p>
    <w:p w:rsidR="008D02F3" w:rsidRPr="007124F6" w:rsidRDefault="00895207">
      <w:pPr>
        <w:spacing w:after="0" w:line="259" w:lineRule="auto"/>
        <w:ind w:left="0" w:right="0" w:firstLine="0"/>
        <w:jc w:val="left"/>
        <w:rPr>
          <w:szCs w:val="26"/>
        </w:rPr>
      </w:pPr>
      <w:r w:rsidRPr="007124F6">
        <w:rPr>
          <w:szCs w:val="26"/>
        </w:rPr>
        <w:t xml:space="preserve"> </w:t>
      </w: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D4777C" w:rsidRDefault="00D4777C">
      <w:pPr>
        <w:spacing w:after="22" w:line="259" w:lineRule="auto"/>
        <w:ind w:left="65" w:right="0" w:firstLine="0"/>
        <w:jc w:val="center"/>
        <w:rPr>
          <w:b/>
          <w:szCs w:val="26"/>
        </w:rPr>
      </w:pPr>
    </w:p>
    <w:p w:rsidR="008D02F3" w:rsidRPr="007124F6" w:rsidRDefault="00895207">
      <w:pPr>
        <w:spacing w:after="22" w:line="259" w:lineRule="auto"/>
        <w:ind w:left="65" w:right="0" w:firstLine="0"/>
        <w:jc w:val="center"/>
        <w:rPr>
          <w:szCs w:val="26"/>
        </w:rPr>
      </w:pPr>
      <w:r w:rsidRPr="007124F6">
        <w:rPr>
          <w:b/>
          <w:szCs w:val="26"/>
        </w:rPr>
        <w:t xml:space="preserve"> </w:t>
      </w:r>
    </w:p>
    <w:p w:rsidR="008D02F3" w:rsidRPr="007124F6" w:rsidRDefault="00FF70F6">
      <w:pPr>
        <w:pStyle w:val="Nadpis1"/>
        <w:rPr>
          <w:szCs w:val="26"/>
        </w:rPr>
      </w:pPr>
      <w:r w:rsidRPr="007124F6">
        <w:rPr>
          <w:szCs w:val="26"/>
        </w:rPr>
        <w:lastRenderedPageBreak/>
        <w:t>§ 8</w:t>
      </w:r>
      <w:r w:rsidR="00895207" w:rsidRPr="007124F6">
        <w:rPr>
          <w:szCs w:val="26"/>
        </w:rPr>
        <w:t xml:space="preserve"> Záverečné ustanovenia </w:t>
      </w:r>
    </w:p>
    <w:p w:rsidR="008D02F3" w:rsidRPr="007124F6" w:rsidRDefault="00895207">
      <w:pPr>
        <w:spacing w:after="19" w:line="259" w:lineRule="auto"/>
        <w:ind w:left="65" w:right="0" w:firstLine="0"/>
        <w:jc w:val="center"/>
        <w:rPr>
          <w:szCs w:val="26"/>
        </w:rPr>
      </w:pPr>
      <w:r w:rsidRPr="007124F6">
        <w:rPr>
          <w:b/>
          <w:szCs w:val="26"/>
        </w:rPr>
        <w:t xml:space="preserve"> </w:t>
      </w:r>
    </w:p>
    <w:p w:rsidR="008D02F3" w:rsidRPr="007124F6" w:rsidRDefault="00895207">
      <w:pPr>
        <w:numPr>
          <w:ilvl w:val="0"/>
          <w:numId w:val="6"/>
        </w:numPr>
        <w:ind w:right="0" w:hanging="360"/>
        <w:rPr>
          <w:szCs w:val="26"/>
        </w:rPr>
      </w:pPr>
      <w:r w:rsidRPr="007124F6">
        <w:rPr>
          <w:szCs w:val="26"/>
        </w:rPr>
        <w:t>Toto VZN bolo schválené uznesením Obecného zastupiteľstva v</w:t>
      </w:r>
      <w:r w:rsidR="001265E4" w:rsidRPr="007124F6">
        <w:rPr>
          <w:szCs w:val="26"/>
        </w:rPr>
        <w:t xml:space="preserve"> Jarku </w:t>
      </w:r>
      <w:r w:rsidR="00D4777C">
        <w:rPr>
          <w:szCs w:val="26"/>
        </w:rPr>
        <w:t xml:space="preserve">                   </w:t>
      </w:r>
      <w:r w:rsidRPr="007124F6">
        <w:rPr>
          <w:b/>
          <w:szCs w:val="26"/>
        </w:rPr>
        <w:t xml:space="preserve">č. </w:t>
      </w:r>
      <w:r w:rsidR="00D4777C">
        <w:rPr>
          <w:b/>
          <w:szCs w:val="26"/>
        </w:rPr>
        <w:t>113</w:t>
      </w:r>
      <w:r w:rsidR="001265E4" w:rsidRPr="007124F6">
        <w:rPr>
          <w:b/>
          <w:szCs w:val="26"/>
        </w:rPr>
        <w:t>/2015</w:t>
      </w:r>
      <w:r w:rsidRPr="007124F6">
        <w:rPr>
          <w:b/>
          <w:szCs w:val="26"/>
        </w:rPr>
        <w:t xml:space="preserve"> </w:t>
      </w:r>
      <w:r w:rsidRPr="007124F6">
        <w:rPr>
          <w:szCs w:val="26"/>
        </w:rPr>
        <w:t xml:space="preserve">zo dňa </w:t>
      </w:r>
      <w:r w:rsidR="00D4777C">
        <w:rPr>
          <w:b/>
          <w:szCs w:val="26"/>
        </w:rPr>
        <w:t>11.12.2015</w:t>
      </w:r>
    </w:p>
    <w:p w:rsidR="008D02F3" w:rsidRPr="007124F6" w:rsidRDefault="00895207">
      <w:pPr>
        <w:numPr>
          <w:ilvl w:val="0"/>
          <w:numId w:val="6"/>
        </w:numPr>
        <w:ind w:right="0" w:hanging="360"/>
        <w:rPr>
          <w:szCs w:val="26"/>
        </w:rPr>
      </w:pPr>
      <w:r w:rsidRPr="007124F6">
        <w:rPr>
          <w:szCs w:val="26"/>
        </w:rPr>
        <w:t>Dňom účinnosti tohto VZN sa zrušujú všetky všeobec</w:t>
      </w:r>
      <w:r w:rsidR="001265E4" w:rsidRPr="007124F6">
        <w:rPr>
          <w:szCs w:val="26"/>
        </w:rPr>
        <w:t>ne záväzné nariadenia Obce Jarok</w:t>
      </w:r>
      <w:r w:rsidRPr="007124F6">
        <w:rPr>
          <w:szCs w:val="26"/>
        </w:rPr>
        <w:t xml:space="preserve"> schvaľujúce vylepovanie volebn</w:t>
      </w:r>
      <w:r w:rsidR="001265E4" w:rsidRPr="007124F6">
        <w:rPr>
          <w:szCs w:val="26"/>
        </w:rPr>
        <w:t>ých plagátov na území Obce Jarok</w:t>
      </w:r>
      <w:r w:rsidRPr="007124F6">
        <w:rPr>
          <w:szCs w:val="26"/>
        </w:rPr>
        <w:t xml:space="preserve">. </w:t>
      </w:r>
    </w:p>
    <w:p w:rsidR="008D02F3" w:rsidRPr="007124F6" w:rsidRDefault="00895207">
      <w:pPr>
        <w:numPr>
          <w:ilvl w:val="0"/>
          <w:numId w:val="6"/>
        </w:numPr>
        <w:ind w:right="0" w:hanging="360"/>
        <w:rPr>
          <w:szCs w:val="26"/>
        </w:rPr>
      </w:pPr>
      <w:r w:rsidRPr="007124F6">
        <w:rPr>
          <w:szCs w:val="26"/>
        </w:rPr>
        <w:t>Toto všeobecne záväzné nariadenie o vymedzení miest na vylepovanie volebných plagátov v čase volebnej kampan</w:t>
      </w:r>
      <w:r w:rsidR="001265E4" w:rsidRPr="007124F6">
        <w:rPr>
          <w:szCs w:val="26"/>
        </w:rPr>
        <w:t>e na území Obce Jarok</w:t>
      </w:r>
      <w:r w:rsidRPr="007124F6">
        <w:rPr>
          <w:szCs w:val="26"/>
        </w:rPr>
        <w:t xml:space="preserve"> nadobúda účinnosť 15. dňom vyvese</w:t>
      </w:r>
      <w:r w:rsidR="001265E4" w:rsidRPr="007124F6">
        <w:rPr>
          <w:szCs w:val="26"/>
        </w:rPr>
        <w:t>nia na úradnej tabuli Obce Jarok</w:t>
      </w:r>
      <w:r w:rsidRPr="007124F6">
        <w:rPr>
          <w:szCs w:val="26"/>
        </w:rPr>
        <w:t xml:space="preserve"> t.j.</w:t>
      </w:r>
      <w:r w:rsidR="00D4777C">
        <w:rPr>
          <w:b/>
          <w:szCs w:val="26"/>
        </w:rPr>
        <w:t>01.01.2016</w:t>
      </w:r>
      <w:r w:rsidR="001265E4" w:rsidRPr="007124F6">
        <w:rPr>
          <w:b/>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p w:rsidR="008D02F3" w:rsidRPr="007124F6" w:rsidRDefault="00895207">
      <w:pPr>
        <w:spacing w:after="0" w:line="259" w:lineRule="auto"/>
        <w:ind w:left="0" w:right="0" w:firstLine="0"/>
        <w:jc w:val="left"/>
        <w:rPr>
          <w:szCs w:val="26"/>
        </w:rPr>
      </w:pPr>
      <w:r w:rsidRPr="007124F6">
        <w:rPr>
          <w:szCs w:val="26"/>
        </w:rPr>
        <w:t xml:space="preserve"> </w:t>
      </w:r>
    </w:p>
    <w:sectPr w:rsidR="008D02F3" w:rsidRPr="007124F6">
      <w:pgSz w:w="11906" w:h="16838"/>
      <w:pgMar w:top="1427" w:right="1417" w:bottom="148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073"/>
    <w:multiLevelType w:val="hybridMultilevel"/>
    <w:tmpl w:val="B65C8D76"/>
    <w:lvl w:ilvl="0" w:tplc="5FBC37AC">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1C655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8A258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9E77A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04ED6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CCC50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C0623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1E2CA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DCA9D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5607B2"/>
    <w:multiLevelType w:val="hybridMultilevel"/>
    <w:tmpl w:val="CD26E08E"/>
    <w:lvl w:ilvl="0" w:tplc="2CCAAAF4">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7C8E8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8A985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8A1CC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9EF40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564452">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0EED8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40FE0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3A01E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BB1A04"/>
    <w:multiLevelType w:val="hybridMultilevel"/>
    <w:tmpl w:val="865CF9E6"/>
    <w:lvl w:ilvl="0" w:tplc="9E664E8E">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ECD78E">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EEAA1E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00DEA0">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A007C0">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F025D8">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AC67C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3C624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061B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B850E4"/>
    <w:multiLevelType w:val="hybridMultilevel"/>
    <w:tmpl w:val="27D69EC8"/>
    <w:lvl w:ilvl="0" w:tplc="F404E47E">
      <w:start w:val="1"/>
      <w:numFmt w:val="bullet"/>
      <w:lvlText w:val="-"/>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681B26">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6EBF56">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045650">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8AA31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94836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862532">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7697A6">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EA18F8">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878500C"/>
    <w:multiLevelType w:val="hybridMultilevel"/>
    <w:tmpl w:val="94D2CC00"/>
    <w:lvl w:ilvl="0" w:tplc="A7E48046">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661F53"/>
    <w:multiLevelType w:val="hybridMultilevel"/>
    <w:tmpl w:val="69DEDFD8"/>
    <w:lvl w:ilvl="0" w:tplc="FA22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196EBC"/>
    <w:multiLevelType w:val="hybridMultilevel"/>
    <w:tmpl w:val="CF1E4A68"/>
    <w:lvl w:ilvl="0" w:tplc="F466B41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E4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2F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855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E2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65F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EC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0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CD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115A42"/>
    <w:multiLevelType w:val="hybridMultilevel"/>
    <w:tmpl w:val="D3CE2ED6"/>
    <w:lvl w:ilvl="0" w:tplc="3094FADE">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3AB3B2">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2" w:tplc="47747E98">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3" w:tplc="0F04651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4" w:tplc="42D8BCA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5" w:tplc="D6CCFFA4">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6" w:tplc="F62E08A2">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7" w:tplc="A6F203EA">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lvl w:ilvl="8" w:tplc="9A2CF44A">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superscript"/>
      </w:rPr>
    </w:lvl>
  </w:abstractNum>
  <w:abstractNum w:abstractNumId="8" w15:restartNumberingAfterBreak="0">
    <w:nsid w:val="7A8E6C46"/>
    <w:multiLevelType w:val="hybridMultilevel"/>
    <w:tmpl w:val="0A6AEB64"/>
    <w:lvl w:ilvl="0" w:tplc="12AA83F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F3"/>
    <w:rsid w:val="001265E4"/>
    <w:rsid w:val="003B00F1"/>
    <w:rsid w:val="004C5C6E"/>
    <w:rsid w:val="005251F0"/>
    <w:rsid w:val="007124F6"/>
    <w:rsid w:val="00741F0F"/>
    <w:rsid w:val="0077003F"/>
    <w:rsid w:val="007B658B"/>
    <w:rsid w:val="008204AA"/>
    <w:rsid w:val="00895207"/>
    <w:rsid w:val="008D02F3"/>
    <w:rsid w:val="00B4126C"/>
    <w:rsid w:val="00B65D24"/>
    <w:rsid w:val="00C10E57"/>
    <w:rsid w:val="00D4777C"/>
    <w:rsid w:val="00FB4EC0"/>
    <w:rsid w:val="00FF7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E08EF-3882-4B6B-9868-A0845933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 w:line="269" w:lineRule="auto"/>
      <w:ind w:left="10" w:right="3" w:hanging="10"/>
      <w:jc w:val="both"/>
    </w:pPr>
    <w:rPr>
      <w:rFonts w:ascii="Times New Roman" w:eastAsia="Times New Roman" w:hAnsi="Times New Roman" w:cs="Times New Roman"/>
      <w:color w:val="000000"/>
      <w:sz w:val="26"/>
    </w:rPr>
  </w:style>
  <w:style w:type="paragraph" w:styleId="Nadpis1">
    <w:name w:val="heading 1"/>
    <w:next w:val="Normlny"/>
    <w:link w:val="Nadpis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6"/>
    </w:rPr>
  </w:style>
  <w:style w:type="paragraph" w:styleId="Hlavika">
    <w:name w:val="header"/>
    <w:basedOn w:val="Normlny"/>
    <w:link w:val="HlavikaChar"/>
    <w:uiPriority w:val="99"/>
    <w:unhideWhenUsed/>
    <w:rsid w:val="00B4126C"/>
    <w:pPr>
      <w:tabs>
        <w:tab w:val="center" w:pos="4536"/>
        <w:tab w:val="right" w:pos="9072"/>
      </w:tabs>
      <w:spacing w:after="0" w:line="240" w:lineRule="auto"/>
      <w:ind w:left="0" w:right="0" w:firstLine="0"/>
      <w:jc w:val="left"/>
    </w:pPr>
    <w:rPr>
      <w:rFonts w:eastAsiaTheme="minorHAnsi"/>
      <w:color w:val="auto"/>
      <w:sz w:val="24"/>
      <w:szCs w:val="24"/>
      <w:lang w:eastAsia="en-US"/>
    </w:rPr>
  </w:style>
  <w:style w:type="character" w:customStyle="1" w:styleId="HlavikaChar">
    <w:name w:val="Hlavička Char"/>
    <w:basedOn w:val="Predvolenpsmoodseku"/>
    <w:link w:val="Hlavika"/>
    <w:uiPriority w:val="99"/>
    <w:rsid w:val="00B4126C"/>
    <w:rPr>
      <w:rFonts w:ascii="Times New Roman" w:eastAsiaTheme="minorHAnsi" w:hAnsi="Times New Roman" w:cs="Times New Roman"/>
      <w:sz w:val="24"/>
      <w:szCs w:val="24"/>
      <w:lang w:eastAsia="en-US"/>
    </w:rPr>
  </w:style>
  <w:style w:type="paragraph" w:styleId="Odsekzoznamu">
    <w:name w:val="List Paragraph"/>
    <w:basedOn w:val="Normlny"/>
    <w:uiPriority w:val="34"/>
    <w:qFormat/>
    <w:rsid w:val="0012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1028</Words>
  <Characters>5865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Všeobecné záväzné nariadenie Obce Lipovník</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záväzné nariadenie Obce Lipovník</dc:title>
  <dc:subject/>
  <dc:creator>lipovnik</dc:creator>
  <cp:keywords/>
  <cp:lastModifiedBy>BARTOVÁ Daniela</cp:lastModifiedBy>
  <cp:revision>11</cp:revision>
  <dcterms:created xsi:type="dcterms:W3CDTF">2015-11-02T10:46:00Z</dcterms:created>
  <dcterms:modified xsi:type="dcterms:W3CDTF">2015-12-16T13:57:00Z</dcterms:modified>
</cp:coreProperties>
</file>